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55288470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9E7F2A">
        <w:rPr>
          <w:rFonts w:ascii="Century Gothic" w:hAnsi="Century Gothic"/>
          <w:b/>
          <w:sz w:val="24"/>
          <w:szCs w:val="24"/>
        </w:rPr>
        <w:t>Octogésima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D60FA7">
        <w:rPr>
          <w:rFonts w:ascii="Century Gothic" w:hAnsi="Century Gothic"/>
          <w:b/>
          <w:sz w:val="24"/>
          <w:szCs w:val="24"/>
        </w:rPr>
        <w:t>Sex</w:t>
      </w:r>
      <w:r w:rsidR="00E45269">
        <w:rPr>
          <w:rFonts w:ascii="Century Gothic" w:hAnsi="Century Gothic"/>
          <w:b/>
          <w:sz w:val="24"/>
          <w:szCs w:val="24"/>
        </w:rPr>
        <w:t>ta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D60FA7">
        <w:rPr>
          <w:rFonts w:ascii="Century Gothic" w:hAnsi="Century Gothic"/>
          <w:b/>
          <w:sz w:val="24"/>
          <w:szCs w:val="24"/>
        </w:rPr>
        <w:t>12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D60FA7">
        <w:rPr>
          <w:rFonts w:ascii="Century Gothic" w:hAnsi="Century Gothic"/>
          <w:b/>
          <w:sz w:val="24"/>
          <w:szCs w:val="24"/>
        </w:rPr>
        <w:t>do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D60FA7">
        <w:rPr>
          <w:rFonts w:ascii="Century Gothic" w:hAnsi="Century Gothic"/>
          <w:b/>
          <w:sz w:val="24"/>
          <w:szCs w:val="24"/>
        </w:rPr>
        <w:t>26 veintiséis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60FA7" w:rsidRPr="00D60FA7" w:rsidRDefault="00D60FA7" w:rsidP="00D60FA7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60FA7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60FA7" w:rsidRPr="00D60FA7" w:rsidRDefault="00D60FA7" w:rsidP="00D60FA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60FA7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60FA7" w:rsidRPr="00D60FA7" w:rsidRDefault="00D60FA7" w:rsidP="00D60FA7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60FA7">
        <w:rPr>
          <w:rFonts w:ascii="Century Gothic" w:hAnsi="Century Gothic"/>
          <w:b w:val="0"/>
          <w:sz w:val="24"/>
          <w:szCs w:val="24"/>
        </w:rPr>
        <w:t>Recepción de los oficios 8913/2018 y 7153-III que remiten los Secretarios de Acuerdos del Segundo y Sexto Tribunales Colegiados en Materia Administrativa del Tercer Circuito, relativos a los Juicios de Amparo número 58/2018 y 73/2017 recibidos los días 15 quince y 23 veintitrés de octubre del presente año, mediante los cuales requieren a este Tribunal por el cumplimiento de la ejecutoria de los juicios de amparo referidos.</w:t>
      </w:r>
    </w:p>
    <w:p w:rsidR="00D60FA7" w:rsidRPr="00D60FA7" w:rsidRDefault="00D60FA7" w:rsidP="00D60FA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60FA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1234/2017, Recurso de Reclamación derivado del Juicio Administrativo 1841/2017 del índice de la Cuarta Sala Unitaria del Tribunal de Justicia Administrativa del Estado, en cumplimiento al Juicio de Amparo 58/2018 del Sexto Tribunal Colegiado en Materia Adm</w:t>
      </w:r>
      <w:bookmarkStart w:id="0" w:name="_GoBack"/>
      <w:bookmarkEnd w:id="0"/>
      <w:r w:rsidRPr="00D60FA7">
        <w:rPr>
          <w:rFonts w:ascii="Century Gothic" w:hAnsi="Century Gothic"/>
          <w:b w:val="0"/>
          <w:sz w:val="24"/>
          <w:szCs w:val="24"/>
        </w:rPr>
        <w:t>inistrativa del Tercer Circuito.</w:t>
      </w:r>
    </w:p>
    <w:p w:rsidR="003879F2" w:rsidRPr="0068754D" w:rsidRDefault="00D60FA7" w:rsidP="00D60FA7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60FA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1267/2015, Recurso de Apelación derivado del Juicio Administrativo 87/2012 del índice de la Primera Sala Unitaria del Tribunal de Justicia Administrativa del Estado, en cumplimiento al Juicio de Amparo 73/2017 del Segundo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D60FA7">
        <w:rPr>
          <w:rFonts w:ascii="Century Gothic" w:hAnsi="Century Gothic"/>
          <w:b/>
          <w:sz w:val="24"/>
          <w:szCs w:val="24"/>
        </w:rPr>
        <w:t>25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Pr="000B3924" w:rsidRDefault="00613A45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255288470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DACB-CFC5-4193-9B09-BBC0F5ED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2019-01-02T18:39:00Z</dcterms:created>
  <dcterms:modified xsi:type="dcterms:W3CDTF">2019-01-02T18:39:00Z</dcterms:modified>
</cp:coreProperties>
</file>